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4E" w:rsidRPr="00444C1C" w:rsidRDefault="0074114E" w:rsidP="0074114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Анкета </w:t>
      </w:r>
      <w:bookmarkStart w:id="0" w:name="_GoBack"/>
      <w:bookmarkEnd w:id="0"/>
      <w:r w:rsidRPr="00444C1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по техническому оснащению транспортно-логистического центра</w:t>
      </w:r>
    </w:p>
    <w:p w:rsidR="0074114E" w:rsidRPr="00444C1C" w:rsidRDefault="0074114E" w:rsidP="0074114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544"/>
      </w:tblGrid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  <w:b/>
              </w:rPr>
            </w:pPr>
            <w:r w:rsidRPr="00444C1C">
              <w:rPr>
                <w:rFonts w:ascii="Arial" w:eastAsia="Times New Roman" w:hAnsi="Arial"/>
                <w:b/>
              </w:rPr>
              <w:t>Наименование требования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  <w:b/>
              </w:rPr>
            </w:pPr>
            <w:r w:rsidRPr="00444C1C">
              <w:rPr>
                <w:rFonts w:ascii="Arial" w:eastAsia="Times New Roman" w:hAnsi="Arial"/>
                <w:b/>
              </w:rPr>
              <w:t>Выполнение требования</w:t>
            </w: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  <w:b/>
              </w:rPr>
            </w:pPr>
            <w:r w:rsidRPr="00444C1C">
              <w:rPr>
                <w:rFonts w:ascii="Arial" w:eastAsia="Times New Roman" w:hAnsi="Arial"/>
              </w:rPr>
              <w:t>Д.2.1 Основные характеристики технического оснащения транспортно-логистического центра: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– наличие автоматизированных систем складского учета товарно-материальных ценностей;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– возможность многоярусного стеллажного хранения грузов (при осуществлении складских операций с грузами, позволяющими производить такое хранение);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– наличие современных средств механизации погрузочно-разгрузочных работ и транспортно-складских операций по переработке грузов;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 xml:space="preserve">– расположение на территории транспортно-логистического центра структурных подразделений Государственного таможенного комитета Республики Беларусь 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 xml:space="preserve">– наличие подъездных путей одного или нескольких видов транспорта 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 xml:space="preserve">– наличие крытых складских помещений 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– охраняемая территория для парковки и отстоя автопоездов;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–</w:t>
            </w:r>
            <w:r w:rsidRPr="00444C1C">
              <w:rPr>
                <w:rFonts w:ascii="Arial" w:eastAsia="Times New Roman" w:hAnsi="Arial"/>
                <w:bCs/>
              </w:rPr>
              <w:t xml:space="preserve"> наличие помещений для </w:t>
            </w:r>
            <w:r w:rsidRPr="00444C1C">
              <w:rPr>
                <w:rFonts w:ascii="Arial" w:eastAsia="Times New Roman" w:hAnsi="Arial"/>
              </w:rPr>
              <w:t>административно-делового центра</w:t>
            </w:r>
            <w:r w:rsidRPr="00444C1C">
              <w:rPr>
                <w:rFonts w:ascii="Arial" w:eastAsia="Times New Roman" w:hAnsi="Arial"/>
                <w:lang w:val="be-BY"/>
              </w:rPr>
              <w:t>.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 w:cs="Courier New"/>
                <w:sz w:val="4"/>
                <w:szCs w:val="4"/>
              </w:rPr>
            </w:pP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 w:cs="Courier New"/>
                <w:sz w:val="4"/>
                <w:szCs w:val="4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 w:cs="Courier New"/>
                <w:sz w:val="18"/>
                <w:szCs w:val="18"/>
              </w:rPr>
            </w:pPr>
            <w:r w:rsidRPr="00444C1C">
              <w:rPr>
                <w:rFonts w:ascii="Arial" w:eastAsia="Times New Roman" w:hAnsi="Arial" w:cs="Courier New"/>
                <w:sz w:val="18"/>
                <w:szCs w:val="18"/>
              </w:rPr>
              <w:t>На территории транспортно-логистического центра могут располагаться торгово-деловые центры, склады временного хранения, склады общего пользования, таможенные и товарные склады, станции технического обслуживания автотранспортных средств, автозаправочные станции, автомойки, объекты оптовой и розничной торговли, страховые компании и банки или их филиалы, гостиничные комплексы и предприятия общественного питания.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 w:cs="Courier New"/>
                <w:sz w:val="18"/>
                <w:szCs w:val="18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 w:cs="Courier New"/>
                <w:sz w:val="8"/>
                <w:szCs w:val="8"/>
              </w:rPr>
            </w:pP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 w:cs="Courier New"/>
                <w:sz w:val="8"/>
                <w:szCs w:val="8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Д.2.2 Дополнительные характеристики технического оснащения транспортно-логистического центра: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– общая площадь территории, занимаемая транспортно-логистическим центром;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  <w:lang w:val="be-BY"/>
              </w:rPr>
            </w:pPr>
            <w:r w:rsidRPr="00444C1C">
              <w:rPr>
                <w:rFonts w:ascii="Arial" w:eastAsia="Times New Roman" w:hAnsi="Arial"/>
              </w:rPr>
              <w:t>– общая площадь крытых складских помещений</w:t>
            </w:r>
            <w:r w:rsidRPr="00444C1C">
              <w:rPr>
                <w:rFonts w:ascii="Arial" w:eastAsia="Times New Roman" w:hAnsi="Arial"/>
                <w:lang w:val="be-BY"/>
              </w:rPr>
              <w:t>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– общая площадь открытых площадок для хранения грузов;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  <w:spacing w:val="-2"/>
              </w:rPr>
            </w:pPr>
            <w:r w:rsidRPr="00444C1C">
              <w:rPr>
                <w:rFonts w:ascii="Arial" w:eastAsia="Times New Roman" w:hAnsi="Arial"/>
                <w:spacing w:val="-2"/>
              </w:rPr>
              <w:t>– площадь контейнерной площадки</w:t>
            </w:r>
            <w:r w:rsidRPr="00444C1C">
              <w:rPr>
                <w:rFonts w:ascii="Arial" w:eastAsia="Times New Roman" w:hAnsi="Arial"/>
                <w:spacing w:val="-2"/>
                <w:lang w:val="be-BY"/>
              </w:rPr>
              <w:t>,</w:t>
            </w:r>
            <w:r w:rsidRPr="00444C1C">
              <w:rPr>
                <w:rFonts w:ascii="Arial" w:eastAsia="Times New Roman" w:hAnsi="Arial"/>
                <w:spacing w:val="-2"/>
              </w:rPr>
              <w:t xml:space="preserve"> предназначенной для обработки большегрузных контейнеров;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  <w:spacing w:val="-2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– суммарная вместимость складов транспортно-логистического центра;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tabs>
                <w:tab w:val="left" w:pos="2552"/>
              </w:tabs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  <w:r w:rsidRPr="00444C1C">
              <w:rPr>
                <w:rFonts w:ascii="Arial" w:eastAsia="Times New Roman" w:hAnsi="Arial"/>
              </w:rPr>
              <w:t>– коэффициент, характеризующий долю проездов и определяемый отношением площади, занимаемой проездами к общей площади транспортно-логистического центра.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jc w:val="both"/>
              <w:rPr>
                <w:rFonts w:ascii="Arial" w:eastAsia="Times New Roman" w:hAnsi="Arial"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44C1C">
              <w:rPr>
                <w:rFonts w:ascii="Arial" w:eastAsia="Times New Roman" w:hAnsi="Arial" w:cs="Arial"/>
              </w:rPr>
              <w:t xml:space="preserve">Проезды для автотранспортных средств на территории транспортно-логистического центра должны обеспечивать беспрепятственное маневрирование и подъезд к пунктам погрузки-разгрузки 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444C1C">
              <w:rPr>
                <w:rFonts w:ascii="Arial" w:eastAsia="Times New Roman" w:hAnsi="Arial" w:cs="Arial"/>
              </w:rPr>
              <w:t>Наличие технического паспорта транспортно-логистического центра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b/>
                <w:bCs/>
              </w:rPr>
            </w:pPr>
            <w:r w:rsidRPr="00444C1C">
              <w:rPr>
                <w:b/>
                <w:bCs/>
              </w:rPr>
              <w:t>Д.2.3 Оказываемые виды  транспортно-экспедиционных  услуг:</w:t>
            </w:r>
          </w:p>
          <w:p w:rsidR="0074114E" w:rsidRPr="00444C1C" w:rsidRDefault="0074114E" w:rsidP="005A32B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b/>
                <w:bCs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Д.2.3.1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услуги, связанные с подготовкой груза к перевозке: определение массы груза, упаковка, затаривание, маркировка, пакетирование, сортировка груза;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b/>
                <w:bCs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Д.2.3.2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. услуги, связанные с погрузкой (выгрузкой) груза: обеспечение выполнения погрузочно-разгрузочных работ, в том числе перевалки груза при смешанной перевозке, закрепления, укрытия, увязки груза, а также предоставление необходимых для этих целей приспособлений;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 2.3.3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. организация процесса перевозки груза любым видом транспорта;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b/>
                <w:bCs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 2.3.4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оформление перевозочных, </w:t>
            </w:r>
            <w:proofErr w:type="spellStart"/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грузосопроводительных</w:t>
            </w:r>
            <w:proofErr w:type="spellEnd"/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и иных документов, необходимых для выполнения перевозки груза;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b/>
                <w:bCs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 2.3.5.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сопровождение груза в процессе перевозки и иные услуги по обеспечению его сохранности;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b/>
                <w:bCs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Д.2.3.6.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заключение договоров страхования груза;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b/>
                <w:bCs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Д.2.3.7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согласование схемы (маршрута, последовательности) перевозки груза несколькими видами транспорта при смешанной перевозке;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b/>
                <w:bCs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Д.2.3.8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консолидация и </w:t>
            </w:r>
            <w:proofErr w:type="spellStart"/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деконсолидация</w:t>
            </w:r>
            <w:proofErr w:type="spellEnd"/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отправок грузов;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b/>
                <w:bCs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 2.3.9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представление груза и сопроводительных документов в таможенные органы;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 2.3.10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проверка количества мест, массы и состояния груза;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 2.3.11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хранение груза;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 2.3.12.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прием груза в пункте назначения;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 2.3.13.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уплата пошлин, сборов и других платежей, связанных с оказываемыми транспортно-экспедиционными услугами;</w:t>
            </w:r>
          </w:p>
          <w:p w:rsidR="0074114E" w:rsidRPr="00444C1C" w:rsidRDefault="0074114E" w:rsidP="005A32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иные услуги, связанные с перевозкой груза.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 2.3.14.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>осуществление расчетов с участниками транспортно-экспедиционной деятельности;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Д.2.3.15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консультирование по вопросам организации перевозок грузов;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4114E" w:rsidRPr="00444C1C" w:rsidTr="005A32B6">
        <w:tc>
          <w:tcPr>
            <w:tcW w:w="5353" w:type="dxa"/>
          </w:tcPr>
          <w:p w:rsidR="0074114E" w:rsidRPr="00444C1C" w:rsidRDefault="0074114E" w:rsidP="005A32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C1C">
              <w:rPr>
                <w:rFonts w:ascii="Times New Roman" w:eastAsia="Times New Roman" w:hAnsi="Times New Roman"/>
                <w:b/>
                <w:sz w:val="24"/>
                <w:szCs w:val="24"/>
              </w:rPr>
              <w:t>Д.2.3.16</w:t>
            </w:r>
            <w:r w:rsidRPr="00444C1C">
              <w:rPr>
                <w:rFonts w:ascii="Times New Roman" w:eastAsia="Times New Roman" w:hAnsi="Times New Roman"/>
                <w:sz w:val="24"/>
                <w:szCs w:val="24"/>
              </w:rPr>
              <w:t xml:space="preserve"> оказание информационных услуг, связанных с перевозкой груза;</w:t>
            </w:r>
          </w:p>
        </w:tc>
        <w:tc>
          <w:tcPr>
            <w:tcW w:w="3544" w:type="dxa"/>
          </w:tcPr>
          <w:p w:rsidR="0074114E" w:rsidRPr="00444C1C" w:rsidRDefault="0074114E" w:rsidP="005A3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:rsidR="0074114E" w:rsidRDefault="0074114E" w:rsidP="0074114E"/>
    <w:p w:rsidR="0074114E" w:rsidRPr="00444C1C" w:rsidRDefault="0074114E" w:rsidP="00741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C1C">
        <w:rPr>
          <w:rFonts w:ascii="Times New Roman" w:eastAsia="Times New Roman" w:hAnsi="Times New Roman" w:cs="Times New Roman"/>
          <w:sz w:val="28"/>
          <w:szCs w:val="20"/>
          <w:lang w:eastAsia="ru-RU"/>
        </w:rPr>
        <w:t>Ответственное лицо _______________</w:t>
      </w:r>
      <w:r w:rsidRPr="00444C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</w:t>
      </w:r>
      <w:r w:rsidRPr="00444C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</w:t>
      </w:r>
    </w:p>
    <w:p w:rsidR="0074114E" w:rsidRPr="00444C1C" w:rsidRDefault="0074114E" w:rsidP="007411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4C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</w:t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подпись</w:t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ФИО</w:t>
      </w:r>
    </w:p>
    <w:p w:rsidR="0074114E" w:rsidRPr="00444C1C" w:rsidRDefault="0074114E" w:rsidP="007411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6BD" w:rsidRDefault="0074114E" w:rsidP="0074114E"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44C1C">
        <w:rPr>
          <w:rFonts w:ascii="Times New Roman" w:eastAsia="Times New Roman" w:hAnsi="Times New Roman" w:cs="Times New Roman"/>
          <w:sz w:val="20"/>
          <w:szCs w:val="20"/>
          <w:lang w:eastAsia="ru-RU"/>
        </w:rPr>
        <w:t>“___”____________200_г</w:t>
      </w:r>
    </w:p>
    <w:sectPr w:rsidR="0059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4E"/>
    <w:rsid w:val="004742E6"/>
    <w:rsid w:val="0074114E"/>
    <w:rsid w:val="00C9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114E"/>
    <w:pPr>
      <w:spacing w:after="0" w:line="240" w:lineRule="auto"/>
    </w:pPr>
    <w:rPr>
      <w:rFonts w:ascii="Verdana" w:eastAsia="Calibri" w:hAnsi="Verdana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114E"/>
    <w:pPr>
      <w:spacing w:after="0" w:line="240" w:lineRule="auto"/>
    </w:pPr>
    <w:rPr>
      <w:rFonts w:ascii="Verdana" w:eastAsia="Calibri" w:hAnsi="Verdana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MDP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client605_4</dc:creator>
  <cp:keywords/>
  <dc:description/>
  <cp:lastModifiedBy>client605_4</cp:lastModifiedBy>
  <cp:revision>1</cp:revision>
  <dcterms:created xsi:type="dcterms:W3CDTF">2013-11-22T10:40:00Z</dcterms:created>
  <dcterms:modified xsi:type="dcterms:W3CDTF">2013-11-22T10:41:00Z</dcterms:modified>
</cp:coreProperties>
</file>